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06" w:type="dxa"/>
        <w:tblLook w:val="04A0" w:firstRow="1" w:lastRow="0" w:firstColumn="1" w:lastColumn="0" w:noHBand="0" w:noVBand="1"/>
      </w:tblPr>
      <w:tblGrid>
        <w:gridCol w:w="1025"/>
        <w:gridCol w:w="8881"/>
      </w:tblGrid>
      <w:tr w:rsidR="00D72766" w:rsidTr="00330526">
        <w:tc>
          <w:tcPr>
            <w:tcW w:w="9906" w:type="dxa"/>
            <w:gridSpan w:val="2"/>
            <w:shd w:val="clear" w:color="auto" w:fill="92CDDC" w:themeFill="accent5" w:themeFillTint="99"/>
            <w:vAlign w:val="bottom"/>
          </w:tcPr>
          <w:p w:rsidR="00D72766" w:rsidRPr="0048563C" w:rsidRDefault="003A4FF1" w:rsidP="003305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Методические рекомендации по утверждению схем расположения земельных участков на кадастровом плане территории</w:t>
            </w:r>
          </w:p>
        </w:tc>
      </w:tr>
      <w:tr w:rsidR="003A4FF1" w:rsidTr="00D07847">
        <w:tc>
          <w:tcPr>
            <w:tcW w:w="9906" w:type="dxa"/>
            <w:gridSpan w:val="2"/>
            <w:shd w:val="clear" w:color="auto" w:fill="DAEEF3" w:themeFill="accent5" w:themeFillTint="33"/>
          </w:tcPr>
          <w:p w:rsidR="003A4FF1" w:rsidRPr="00D07847" w:rsidRDefault="003A4FF1" w:rsidP="0033052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Приложением № 2 к приказу Минэкономразвития России от 27.11.2014 </w:t>
            </w:r>
            <w:r w:rsidR="00330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762 утверждена форма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    </w:r>
            <w:r w:rsidR="00330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4FF1" w:rsidRPr="00D72766" w:rsidRDefault="003A4FF1" w:rsidP="0033052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Представляемая на утверждение схема расположения земельного участка или земельных участков на кадастровом плане территории должна соответствовать вышеуказанной форме, в том числе включать все обозначенные реквизиты документа</w:t>
            </w:r>
            <w:r w:rsidR="005326EA"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1A201A" w:rsidTr="00D07847">
        <w:tc>
          <w:tcPr>
            <w:tcW w:w="9906" w:type="dxa"/>
            <w:gridSpan w:val="2"/>
            <w:shd w:val="clear" w:color="auto" w:fill="auto"/>
          </w:tcPr>
          <w:p w:rsidR="001A201A" w:rsidRDefault="003A4FF1" w:rsidP="001A20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96AFE0" wp14:editId="16E5D921">
                  <wp:extent cx="6153150" cy="4391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439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Реквизит «гриф утверждения» </w:t>
            </w:r>
            <w:r w:rsidRPr="002F7F3E">
              <w:rPr>
                <w:rFonts w:ascii="Times New Roman" w:hAnsi="Times New Roman" w:cs="Times New Roman"/>
                <w:sz w:val="28"/>
              </w:rPr>
              <w:t>не заполняется</w:t>
            </w:r>
          </w:p>
        </w:tc>
      </w:tr>
      <w:tr w:rsidR="00D72766" w:rsidTr="00D07847">
        <w:tc>
          <w:tcPr>
            <w:tcW w:w="1025" w:type="dxa"/>
            <w:shd w:val="clear" w:color="auto" w:fill="FFFFFF" w:themeFill="background1"/>
          </w:tcPr>
          <w:p w:rsidR="00D72766" w:rsidRDefault="00D72766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D72766" w:rsidRPr="00572060" w:rsidRDefault="009A0A79" w:rsidP="00330526">
            <w:pPr>
              <w:ind w:firstLine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Сведения о наименовании вида документа, дата, номер документа об утверждении, наименование уполномоченного органа п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>одлеж</w:t>
            </w:r>
            <w:r w:rsidR="005326EA" w:rsidRPr="0057206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т заполнению 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в рамках рассмотрения заявления о предоставлении муниципальной услуги, 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060" w:rsidRPr="00572060">
              <w:rPr>
                <w:rFonts w:ascii="Times New Roman" w:hAnsi="Times New Roman" w:cs="Times New Roman"/>
                <w:sz w:val="26"/>
                <w:szCs w:val="26"/>
              </w:rPr>
              <w:t>принятия уполномоченным органом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 решения об утверждении схемы расположения земельного участка или земельных участков на кадастровом плане территории (далее – СРЗУ на КПТ)</w:t>
            </w:r>
            <w:r w:rsid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22CE7" w:rsidTr="00D07847">
        <w:tc>
          <w:tcPr>
            <w:tcW w:w="1025" w:type="dxa"/>
            <w:shd w:val="clear" w:color="auto" w:fill="B6DDE8" w:themeFill="accent5" w:themeFillTint="66"/>
          </w:tcPr>
          <w:p w:rsidR="00D22CE7" w:rsidRDefault="002F7F3E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1.2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72766" w:rsidRPr="00D72766" w:rsidRDefault="002F7F3E" w:rsidP="005720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7F3E">
              <w:rPr>
                <w:rFonts w:ascii="Times New Roman" w:hAnsi="Times New Roman" w:cs="Times New Roman"/>
                <w:b/>
                <w:sz w:val="28"/>
              </w:rPr>
              <w:t>Реквизит «наименование документа»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72060" w:rsidTr="00572060">
        <w:tc>
          <w:tcPr>
            <w:tcW w:w="1025" w:type="dxa"/>
            <w:shd w:val="clear" w:color="auto" w:fill="FFFFFF" w:themeFill="background1"/>
          </w:tcPr>
          <w:p w:rsidR="00572060" w:rsidRDefault="00572060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572060" w:rsidRPr="00572060" w:rsidRDefault="00572060" w:rsidP="00330526">
            <w:pPr>
              <w:ind w:firstLine="53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Указанный реквизит</w:t>
            </w:r>
            <w:r w:rsidRPr="0057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не требует дополнения какими-либо сведениями</w:t>
            </w:r>
            <w:r w:rsid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1.3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D07847" w:rsidRDefault="00D07847" w:rsidP="00D07847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7F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Реквизит «условный номер земельного участка»</w:t>
            </w:r>
          </w:p>
        </w:tc>
      </w:tr>
      <w:tr w:rsidR="00D22CE7" w:rsidTr="00D07847">
        <w:tc>
          <w:tcPr>
            <w:tcW w:w="1025" w:type="dxa"/>
          </w:tcPr>
          <w:p w:rsidR="00D22CE7" w:rsidRDefault="00D22CE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2F7F3E" w:rsidRPr="00330526" w:rsidRDefault="002F7F3E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Сведения об условном номере образуемого земельного участка подлежат отображению в соответствующей графе в случае, если предусматривается образование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>двух и более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земельных участков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F7F3E" w:rsidRDefault="002F7F3E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Если СРЗУ на КПТ предусматривает образование земельного участка (в том числе в случаях образования одного земельного участка путем раздела исходного земельного участка, находящегося в государственной или муниципальной собственности</w:t>
            </w:r>
            <w:r w:rsidR="0066238B"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подлежащего сохранению в измененных границах) графа «условный номер земельного участка» не подлежит заполнению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30526" w:rsidRPr="00330526" w:rsidRDefault="00330526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6238B" w:rsidRPr="00330526" w:rsidRDefault="0066238B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Правила формирования условного номера земельного участка предусмотрены пунктом 8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утвержденных приказом Минэкономразвития России от 27.11.2014 № 762 (далее – Требования):</w:t>
            </w:r>
          </w:p>
          <w:p w:rsidR="0066238B" w:rsidRPr="00330526" w:rsidRDefault="0066238B" w:rsidP="00330526">
            <w:pPr>
              <w:pStyle w:val="a4"/>
              <w:numPr>
                <w:ilvl w:val="0"/>
                <w:numId w:val="13"/>
              </w:numPr>
              <w:tabs>
                <w:tab w:val="left" w:pos="5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если схемой расположения земельного участка предусматривается образование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из земельного участка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двух и более земельных участков, условный номер образуемого участка включает в себя кадастровый номер земельного участка, из которого предусматривается образование земельных участков,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      </w:r>
          </w:p>
          <w:p w:rsidR="0066238B" w:rsidRPr="00330526" w:rsidRDefault="0066238B" w:rsidP="00330526">
            <w:pPr>
              <w:pStyle w:val="a4"/>
              <w:numPr>
                <w:ilvl w:val="0"/>
                <w:numId w:val="13"/>
              </w:numPr>
              <w:tabs>
                <w:tab w:val="left" w:pos="5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случае образования двух и более земельных участков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из земель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находящихся в государственной или муниципальной собственности, или путем перераспределения земельных участков условный номер включает в себя кадастровый номер кадастрового квартала, в котором образуемый земельный участок расположен целиком,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      </w:r>
          </w:p>
          <w:p w:rsidR="0066238B" w:rsidRPr="00330526" w:rsidRDefault="0066238B" w:rsidP="00330526">
            <w:pPr>
              <w:tabs>
                <w:tab w:val="left" w:pos="5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Разделитель составных частей условного номера - двоеточие (знак ":").</w:t>
            </w:r>
          </w:p>
          <w:p w:rsidR="0066238B" w:rsidRPr="0066238B" w:rsidRDefault="0066238B" w:rsidP="00330526">
            <w:pPr>
              <w:tabs>
                <w:tab w:val="left" w:pos="5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Если схемой расположения земельного участка предусматривается образование двух и более земельных участков, сведения о каждом образуемом земельном участке, за исключением графической информации, приводятся в схеме расположения последовательно. Графическая информация приводится в отношении всех образуемых земельных участков (пункт 11 Требований).</w:t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1.4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66238B" w:rsidRDefault="00D07847" w:rsidP="00D07847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6238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Реквизит «площадь земельного участка»</w:t>
            </w:r>
          </w:p>
        </w:tc>
      </w:tr>
      <w:tr w:rsidR="00F83F0E" w:rsidTr="00D07847">
        <w:tc>
          <w:tcPr>
            <w:tcW w:w="1025" w:type="dxa"/>
          </w:tcPr>
          <w:p w:rsidR="00F83F0E" w:rsidRPr="0015091D" w:rsidRDefault="00F83F0E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572060" w:rsidRDefault="00572060" w:rsidP="006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66238B" w:rsidRPr="00330526" w:rsidRDefault="0066238B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Площадь образуемого земельного участка приводится с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округлением </w:t>
            </w:r>
            <w:r w:rsid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квадратного метра</w:t>
            </w:r>
            <w:r w:rsid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43AB4" w:rsidRPr="00330526" w:rsidRDefault="00943AB4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238B" w:rsidRPr="00330526" w:rsidRDefault="005326EA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практике п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 представлении СРЗУ на КПТ, предусматривающих образование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земельных участков путем раздела, объединения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часто дополнительно в условных обозначениях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приводят сведения о площади как образуемых, так и исходных земельных участков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указании данных сведений 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 обратить внимание, что разница или сумма площадей образуемых земельных участков должна соответствовать площади исходного земельного участка.</w:t>
            </w:r>
          </w:p>
          <w:p w:rsidR="00572060" w:rsidRPr="00943AB4" w:rsidRDefault="00572060" w:rsidP="0053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847" w:rsidTr="00572060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1.5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943AB4" w:rsidRDefault="00572060" w:rsidP="00943AB4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Реквизит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ы</w:t>
            </w: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обозначение характерных точек границ</w:t>
            </w: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, «координаты»</w:t>
            </w:r>
          </w:p>
        </w:tc>
      </w:tr>
      <w:tr w:rsidR="00DA56A4" w:rsidTr="00D07847">
        <w:tc>
          <w:tcPr>
            <w:tcW w:w="1025" w:type="dxa"/>
          </w:tcPr>
          <w:p w:rsidR="00DA56A4" w:rsidRPr="0015091D" w:rsidRDefault="00DA56A4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DA56A4" w:rsidRPr="00330526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Характерные точки границ подлежат обозначению с использованием арабских циф</w:t>
            </w:r>
            <w:r w:rsidR="009A0A7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р в последовательном приведении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A0A79" w:rsidRPr="00330526" w:rsidRDefault="00F152A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Список координ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ат характерных точек границ при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водится в отношении каждого образуемого в соответствии со схемой расположения земельного участка в системе координат, применяемой при ведении государственного кадастра недвижимости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330526" w:rsidRDefault="009A0A7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Координаты </w:t>
            </w:r>
            <w:r w:rsidR="001D35DB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указываются с округлением до 0,01 метра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330526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целях соблюдения требования об описании замкнутого контура границы, в котором первая и последняя характерные точки должны совпадать, контур 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должен начинаться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точки 1 и заканчива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ться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точкой 1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F10861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Последовательность обозначения точек и координат характерных точек границ территории должна образовывать соответствующий рисунок контура границ образуемого земельного участка, приведенного в графической части СРЗУ на КПТ.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1.6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9A0A79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0A79">
              <w:rPr>
                <w:rFonts w:ascii="Times New Roman" w:hAnsi="Times New Roman" w:cs="Times New Roman"/>
                <w:b/>
                <w:sz w:val="28"/>
              </w:rPr>
              <w:t>Реквизит «масштаб»</w:t>
            </w:r>
          </w:p>
        </w:tc>
      </w:tr>
      <w:tr w:rsidR="004A0F10" w:rsidTr="00572060">
        <w:tc>
          <w:tcPr>
            <w:tcW w:w="1025" w:type="dxa"/>
            <w:shd w:val="clear" w:color="auto" w:fill="FFFFFF" w:themeFill="background1"/>
          </w:tcPr>
          <w:p w:rsidR="004A0F10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9A0A79" w:rsidRPr="00330526" w:rsidRDefault="009A0A79" w:rsidP="00330526">
            <w:pPr>
              <w:ind w:firstLine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 учитывать, что согласно пункту 12 требований качество формируемого документа должно позволять в полном объеме прочитать </w:t>
            </w:r>
            <w:r w:rsidRPr="003305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(распознать) графическую информацию</w:t>
            </w:r>
            <w:r w:rsidR="00330526" w:rsidRP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1.7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F152A9" w:rsidRDefault="00572060" w:rsidP="0066238B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152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Реквизит «условные обозначения»</w:t>
            </w:r>
          </w:p>
        </w:tc>
      </w:tr>
      <w:tr w:rsidR="004A0F10" w:rsidTr="00D07847">
        <w:tc>
          <w:tcPr>
            <w:tcW w:w="1025" w:type="dxa"/>
            <w:shd w:val="clear" w:color="auto" w:fill="auto"/>
          </w:tcPr>
          <w:p w:rsidR="004A0F10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572060" w:rsidRDefault="00572060" w:rsidP="00F152A9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152A9" w:rsidRPr="00330526" w:rsidRDefault="00F152A9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Условные обозначения подлежат приведению с учетом отображаемой в СРЗУ на КПТ графической информации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72060" w:rsidRPr="00F152A9" w:rsidRDefault="00572060" w:rsidP="00F152A9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1.8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4F5280" w:rsidRDefault="00572060" w:rsidP="00572060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F528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Графическая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информация</w:t>
            </w:r>
            <w:r w:rsidRPr="004F528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СРЗУ на КПТ</w:t>
            </w:r>
          </w:p>
        </w:tc>
      </w:tr>
      <w:tr w:rsidR="005326EA" w:rsidTr="00D07847">
        <w:tc>
          <w:tcPr>
            <w:tcW w:w="1025" w:type="dxa"/>
          </w:tcPr>
          <w:p w:rsidR="005326EA" w:rsidRDefault="005326EA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информация СРЗУ на КПТ должна содержать 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Схема расположения земельного участка подготавливается на основе сведений государственного кадастра недвижимости об определенной территории (кадастрового плана территории).</w:t>
            </w:r>
          </w:p>
          <w:p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Графическая часть СРЗУ на КПТ должна соответствовать указанному требованию, в том числе содержать актуальные на дату ее представления в уполномоченный орган сведения о поставленных на государственный кадастровый учет объектах недвижимости (изображения </w:t>
            </w:r>
            <w:r w:rsidR="001171E2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их границ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 приведением кадастровых номеров)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F5280" w:rsidRPr="00330526" w:rsidRDefault="001171E2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информация дополняется схематичным отображением границ территорий общего пользования, красных линий, а также местоположения объектов естественного или искусственного происхождения, облегчающих ориентирование на местности (реки, овраги, автомобильные и железные дороги, линии электропередачи, иные сооружения, здания, объекты незавершенного строительства).</w:t>
            </w:r>
          </w:p>
          <w:p w:rsidR="001171E2" w:rsidRPr="00330526" w:rsidRDefault="001171E2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Приведение достоверных сведений о фактическом состоянии местности (рельефе, расположении проходов, проездов, ограждений и т.д.) облегчает ориентирование и обеспечивает более полную проверку законности и соблюдения требований при образовании испрашиваемого земельного участка, что впоследствии позволяет избежать обжалования принятых уполномоченным органом решений и земельных споров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326EA" w:rsidRPr="00330526" w:rsidRDefault="005326EA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Согласно пункту 12 Требований графическая информация формируется в виде файла в формате PDF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полноцветном режиме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разрешением не менее 300 </w:t>
            </w:r>
            <w:proofErr w:type="spellStart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dpi</w:t>
            </w:r>
            <w:proofErr w:type="spellEnd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качество которого должно позволять в полном объеме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прочитать (распознать) графическую информацию.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СРЗУ на КПТ, представленная в черно-белом исполнении, утверждению не подлежит</w:t>
            </w:r>
          </w:p>
        </w:tc>
      </w:tr>
      <w:tr w:rsidR="00FB00BE" w:rsidTr="00D07847">
        <w:tc>
          <w:tcPr>
            <w:tcW w:w="1025" w:type="dxa"/>
          </w:tcPr>
          <w:p w:rsidR="00FB00BE" w:rsidRDefault="00FB00BE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FB00BE" w:rsidRDefault="00FB00BE" w:rsidP="00E06DF4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8"/>
              </w:rPr>
              <w:t>При подготовке С</w:t>
            </w:r>
            <w:r w:rsidR="00572060">
              <w:rPr>
                <w:rFonts w:ascii="Times New Roman" w:eastAsia="Calibri" w:hAnsi="Times New Roman" w:cs="Times New Roman"/>
                <w:sz w:val="28"/>
                <w:szCs w:val="28"/>
              </w:rPr>
              <w:t>РЗУ на КПТ</w:t>
            </w:r>
            <w:r w:rsidRPr="00FB00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учитываются материалы и сведения, в том числе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утвержденных документов территориального планирования;</w:t>
            </w:r>
          </w:p>
          <w:p w:rsidR="00FB00BE" w:rsidRPr="00330526" w:rsidRDefault="00FB00B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При определении проектируемого местоположения границ образуемого/изменяемого земельного участка следует учитывать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</w:t>
            </w:r>
            <w:r w:rsidR="00DA7692">
              <w:rPr>
                <w:rFonts w:ascii="Times New Roman" w:eastAsia="Calibri" w:hAnsi="Times New Roman" w:cs="Times New Roman"/>
                <w:sz w:val="26"/>
                <w:szCs w:val="26"/>
              </w:rPr>
              <w:t>Генеральных планов и Правил землепользования и застройки городского и сельских поселений Михайловского муниципального района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планируемы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размещению объект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ах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местного значения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правил землепользования и застройки;</w:t>
            </w:r>
          </w:p>
          <w:p w:rsidR="000A1349" w:rsidRPr="00330526" w:rsidRDefault="005208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 определении проектируемого местоположения границ образуемого/изменяемого земельного участка следует учитывать, в том числе сведения </w:t>
            </w:r>
            <w:r w:rsidR="000A134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 границах территориальных зон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2086E" w:rsidRPr="00330526" w:rsidRDefault="000A134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Приводимые в графической части СРЗУ на КПТ границы территориальных зон должны соответствовать сведениям о прохождении таких границ, содержащим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ся в картах градостроительного зонирования Правил землепользования и застройки на территории Владивостокского городского округа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2086E" w:rsidRPr="00330526" w:rsidRDefault="005208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Не допускается образование земельного участка, границы которого пересекают границы территориальных зон (пункт 7 статьи 11.9 Земельного кодекса Российской Федерации).</w:t>
            </w:r>
          </w:p>
          <w:p w:rsidR="0052086E" w:rsidRPr="00330526" w:rsidRDefault="00F96D4D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Условные обозначения наименований территориальных зон, в том числе соответствующих надписей в графической части СРЗУ на КПТ, рекомендуется приводить в соответствии с </w:t>
            </w:r>
            <w:r w:rsidR="000A134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Правилами землепользования и застройки </w:t>
            </w:r>
            <w:r w:rsidR="00DA7692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и сельских поселений Михайловского муниципального района</w:t>
            </w:r>
            <w:r w:rsidR="000A134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(Ж 1, Т 4 и т.д.)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 учетом установленного территориального зонирования рекомендуется также проверить наличие в градостроительном регламенте территориальной зоны интересующего вида разрешенного использования земельного участка.</w:t>
            </w:r>
          </w:p>
          <w:p w:rsidR="00DA7692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Градостроительные регламенты территориальных зон установлены Правилами землепользовани</w:t>
            </w:r>
            <w:r w:rsidR="00877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 и застройки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территории </w:t>
            </w:r>
            <w:r w:rsidR="00DA7692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и сельских поселений Михайловского муниципального района, в том числе:</w:t>
            </w:r>
          </w:p>
          <w:p w:rsidR="0087794B" w:rsidRPr="0087794B" w:rsidRDefault="0087794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Правилами землепользовани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 и </w:t>
            </w:r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>застройки</w:t>
            </w:r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Михайловского сельского поселения</w:t>
            </w:r>
            <w:r w:rsidR="00D23A1F"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утвержденными решением Думы </w:t>
            </w:r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Михайловского </w:t>
            </w:r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муниципального района от 19.12.2019 № 439;</w:t>
            </w:r>
          </w:p>
          <w:p w:rsidR="00E85C5B" w:rsidRPr="0087794B" w:rsidRDefault="0087794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Правилами землепользования и застройки </w:t>
            </w:r>
            <w:proofErr w:type="spellStart"/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>Осиновского</w:t>
            </w:r>
            <w:proofErr w:type="spellEnd"/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поселения, утвержденными решением Думы Михайловского муниципального района от 19.12.2019 № </w:t>
            </w:r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>440</w:t>
            </w:r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87794B" w:rsidRPr="0087794B" w:rsidRDefault="0087794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Правилами землепользования и застройки </w:t>
            </w:r>
            <w:proofErr w:type="spellStart"/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>Сунятсенского</w:t>
            </w:r>
            <w:proofErr w:type="spellEnd"/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поселения, утвержденными решением Думы Михайловского муниципального района от 19.12.2019 № </w:t>
            </w:r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>441</w:t>
            </w:r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D23A1F" w:rsidRPr="00330526" w:rsidRDefault="0087794B" w:rsidP="0087794B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Правилами землепользования и застройки </w:t>
            </w:r>
            <w:proofErr w:type="spellStart"/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>Григорьевского</w:t>
            </w:r>
            <w:proofErr w:type="spellEnd"/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поселения, утвержденными решением Думы Михайловского муниципального района от 19.12.2019 № </w:t>
            </w:r>
            <w:r w:rsidRPr="0087794B">
              <w:rPr>
                <w:rFonts w:ascii="Times New Roman" w:eastAsia="Calibri" w:hAnsi="Times New Roman" w:cs="Times New Roman"/>
                <w:sz w:val="26"/>
                <w:szCs w:val="26"/>
              </w:rPr>
              <w:t>442</w:t>
            </w:r>
            <w:bookmarkStart w:id="0" w:name="_GoBack"/>
            <w:bookmarkEnd w:id="0"/>
            <w:r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23A1F"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E85C5B"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 материалы </w:t>
            </w:r>
            <w:r w:rsidR="00D23A1F"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доступны к скачиванию на официальном </w:t>
            </w:r>
            <w:r w:rsidR="00E85C5B"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сайте </w:t>
            </w:r>
            <w:hyperlink r:id="rId7" w:history="1">
              <w:r w:rsidR="00E85C5B" w:rsidRPr="00E85C5B">
                <w:rPr>
                  <w:rStyle w:val="a7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www.mikhprim.ru</w:t>
              </w:r>
            </w:hyperlink>
            <w:r w:rsidR="00E85C5B"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разделе:</w:t>
            </w:r>
            <w:proofErr w:type="gramEnd"/>
            <w:r w:rsidR="00E85C5B"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85C5B"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Главная / Архитектура и градостроительство / </w:t>
            </w:r>
            <w:r w:rsid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 землепользования и </w:t>
            </w:r>
            <w:r w:rsidR="00E85C5B"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>застройки</w:t>
            </w:r>
            <w:r w:rsidR="00D23A1F"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proofErr w:type="gramEnd"/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Проверить установленные градостроительным регламентом для интересующего вида разрешенного использования: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-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-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Необходимо отметить, согласно части 2 статьи 6 Правил землепользования и застройки </w:t>
            </w:r>
            <w:r w:rsidR="00D80E04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и сельских поселений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80E04">
              <w:rPr>
                <w:rFonts w:ascii="Times New Roman" w:eastAsia="Calibri" w:hAnsi="Times New Roman" w:cs="Times New Roman"/>
                <w:sz w:val="26"/>
                <w:szCs w:val="26"/>
              </w:rPr>
              <w:t>Михайловского муниципального района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требования к предельному минимальному и (или) максимальному размеру земельных участков не применяется при образовании земельных участков путем раздела, объединения, выдела из земельных участков, а также перераспределения земельных участков, за исключением случаев, предусмотренных ст. 39.28 Земельного кодекса Российской Федерации.</w:t>
            </w:r>
            <w:proofErr w:type="gramEnd"/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проектов планировки территории;</w:t>
            </w:r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землеустроительной документации;</w:t>
            </w:r>
          </w:p>
          <w:p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положения об особо охраняемой природной территории;</w:t>
            </w:r>
          </w:p>
          <w:p w:rsidR="000A1349" w:rsidRPr="00330526" w:rsidRDefault="000A134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Следует учитывать, что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      </w:r>
            <w:r w:rsidR="002F1E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является основанием для отказа в утверждении схемы расположения земельного участка (подпункт 4 пункта 16 статьи 11.10 </w:t>
            </w:r>
            <w:r w:rsidR="002F1E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Земельного кодекса Российской Федерации).</w:t>
            </w:r>
          </w:p>
          <w:p w:rsidR="002F1E6E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Определить</w:t>
            </w:r>
            <w:r w:rsidR="002F1E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расположение</w:t>
            </w:r>
            <w:r w:rsidR="002F1E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образуемого земельного участка в границах территории, в отношении которой уполномоченным органом принято решение об утверждении документации по планировке территории в части проекта планировки территории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возможно посредством информации, размещенной на портале РИСОГД ПК (</w:t>
            </w:r>
            <w:hyperlink r:id="rId8" w:history="1">
              <w:r w:rsidRPr="00330526">
                <w:rPr>
                  <w:rStyle w:val="a7"/>
                  <w:rFonts w:ascii="Times New Roman" w:eastAsia="Calibri" w:hAnsi="Times New Roman" w:cs="Times New Roman"/>
                  <w:sz w:val="26"/>
                  <w:szCs w:val="26"/>
                </w:rPr>
                <w:t>https://isogd.primorsky.ru</w:t>
              </w:r>
            </w:hyperlink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D23A1F" w:rsidRPr="00330526" w:rsidRDefault="00330526" w:rsidP="00330526">
            <w:pPr>
              <w:pStyle w:val="a4"/>
              <w:numPr>
                <w:ilvl w:val="0"/>
                <w:numId w:val="15"/>
              </w:numPr>
              <w:tabs>
                <w:tab w:val="left" w:pos="17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D23A1F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меню «Слои» раскрыть вкладку «Планировка территории» и подключить слой «Границы проектов планировки»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21945" w:rsidRPr="00330526" w:rsidRDefault="00330526" w:rsidP="00330526">
            <w:pPr>
              <w:pStyle w:val="a4"/>
              <w:numPr>
                <w:ilvl w:val="0"/>
                <w:numId w:val="15"/>
              </w:numPr>
              <w:tabs>
                <w:tab w:val="left" w:pos="17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тображенные на местности границы территории выбрать курсором для отображения сведений о наименовании и реквизитах документа, которым утвержден проект планировки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21945" w:rsidRPr="00E85C5B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Ознакомление с содержанием проекта планировки возможно </w:t>
            </w:r>
            <w:r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осуществить на официальном сайте уполномоченного органа, принявшего решение об утверждении документации по планировке территории</w:t>
            </w:r>
            <w:r w:rsidR="00330526"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21945" w:rsidRPr="00E85C5B" w:rsidRDefault="00B21945" w:rsidP="00330526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(на официальном сайте </w:t>
            </w:r>
            <w:hyperlink r:id="rId9" w:history="1">
              <w:r w:rsidR="00D80E04" w:rsidRPr="00E85C5B">
                <w:rPr>
                  <w:rStyle w:val="a7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www.mikhprim.ru</w:t>
              </w:r>
            </w:hyperlink>
            <w:r w:rsidR="00D80E04"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>в разделе:</w:t>
            </w:r>
            <w:proofErr w:type="gramEnd"/>
            <w:r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Главная / </w:t>
            </w:r>
            <w:r w:rsidR="00D80E04"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>Архитектура и градостроительство</w:t>
            </w:r>
            <w:r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Документация по планировке территории)</w:t>
            </w:r>
            <w:proofErr w:type="gramEnd"/>
          </w:p>
          <w:p w:rsidR="00B21945" w:rsidRPr="00E85C5B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>А также посредством поиска нормативного правового акта по соответствующим реквизитам</w:t>
            </w:r>
          </w:p>
          <w:p w:rsidR="00B21945" w:rsidRPr="00E85C5B" w:rsidRDefault="00B21945" w:rsidP="00330526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(на официальном сайте </w:t>
            </w:r>
            <w:hyperlink r:id="rId10" w:history="1">
              <w:r w:rsidR="00D80E04" w:rsidRPr="00E85C5B">
                <w:rPr>
                  <w:rStyle w:val="a7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www.mikhprim.ru</w:t>
              </w:r>
            </w:hyperlink>
            <w:r w:rsidR="00D80E04"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>в разделе:</w:t>
            </w:r>
            <w:proofErr w:type="gramEnd"/>
            <w:r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Главная / </w:t>
            </w:r>
            <w:r w:rsidR="00E85C5B"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Нормативно-правовые акты администрации</w:t>
            </w:r>
            <w:r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НПА)</w:t>
            </w:r>
            <w:proofErr w:type="gramEnd"/>
          </w:p>
          <w:p w:rsidR="000A1349" w:rsidRPr="00E85C5B" w:rsidRDefault="00FB00BE" w:rsidP="002F1E6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85C5B">
              <w:rPr>
                <w:rFonts w:ascii="Times New Roman" w:eastAsia="Calibri" w:hAnsi="Times New Roman" w:cs="Times New Roman"/>
                <w:sz w:val="28"/>
                <w:szCs w:val="24"/>
              </w:rPr>
              <w:t>о зонах с особыми условиями использования территории;</w:t>
            </w:r>
          </w:p>
          <w:p w:rsidR="002F1E6E" w:rsidRPr="00330526" w:rsidRDefault="002F1E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5C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Определить расположение земельного участка в границах зон с особыми условиями использования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территории возможно посредством информации о ЗОУИТ на публичной кадастровой карте (https://pkk.rosreestr.ru)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1. В меню публичной кадастровой карты выбрать вкладку «Слои», «Общедоступные сведения, содержащиеся в ЕГРН», подключить слой «Зоны с особыми условиями использования территорий»;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2. В меню публичной кадастровой карты выбрать вкладку «Все объекты в т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очке»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3. На публичной кадастровой карте выбрать курсором интересующий участок;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4. Переключить вкладки всплывающего окна на сведения «Зона с особыми условиями использования территории»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запрос сведений ИСОГД посредством подачи обращения в Министерство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строительства Приморского края</w:t>
            </w:r>
          </w:p>
          <w:p w:rsidR="002F1E6E" w:rsidRPr="00E85C5B" w:rsidRDefault="002F1E6E" w:rsidP="00E85C5B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proofErr w:type="gramStart"/>
            <w:r w:rsidRPr="00E85C5B">
              <w:rPr>
                <w:rFonts w:eastAsia="Calibri"/>
                <w:b w:val="0"/>
                <w:sz w:val="26"/>
                <w:szCs w:val="26"/>
              </w:rPr>
              <w:t xml:space="preserve">- посредством просмотра информации о ЗОУИТ на карте зон с особыми условиями использования территорий (6.1), входящей в состав материалов по обоснованию </w:t>
            </w:r>
            <w:r w:rsidR="00E85C5B" w:rsidRPr="00E85C5B">
              <w:rPr>
                <w:rFonts w:eastAsia="Calibri"/>
                <w:b w:val="0"/>
                <w:sz w:val="26"/>
                <w:szCs w:val="26"/>
              </w:rPr>
              <w:t>Схемы территориального планирования Михайловского муниципального района</w:t>
            </w:r>
            <w:r w:rsidRPr="00E85C5B">
              <w:rPr>
                <w:rFonts w:eastAsia="Calibri"/>
                <w:b w:val="0"/>
                <w:sz w:val="26"/>
                <w:szCs w:val="26"/>
              </w:rPr>
              <w:t xml:space="preserve"> (доступна к скачиванию на официальном </w:t>
            </w:r>
            <w:r w:rsidR="00E85C5B" w:rsidRPr="00E85C5B">
              <w:rPr>
                <w:rFonts w:eastAsia="Calibri"/>
                <w:b w:val="0"/>
                <w:sz w:val="26"/>
                <w:szCs w:val="26"/>
              </w:rPr>
              <w:t xml:space="preserve">сайте </w:t>
            </w:r>
            <w:hyperlink r:id="rId11" w:history="1">
              <w:r w:rsidR="00E85C5B" w:rsidRPr="00E85C5B">
                <w:rPr>
                  <w:rStyle w:val="a7"/>
                  <w:rFonts w:eastAsia="Calibri"/>
                  <w:b w:val="0"/>
                  <w:color w:val="auto"/>
                  <w:sz w:val="26"/>
                  <w:szCs w:val="26"/>
                </w:rPr>
                <w:t>www.mikhprim.ru</w:t>
              </w:r>
            </w:hyperlink>
            <w:r w:rsidR="00E85C5B" w:rsidRPr="00E85C5B">
              <w:rPr>
                <w:rFonts w:eastAsia="Calibri"/>
                <w:b w:val="0"/>
                <w:sz w:val="26"/>
                <w:szCs w:val="26"/>
              </w:rPr>
              <w:t xml:space="preserve"> в разделе:</w:t>
            </w:r>
            <w:proofErr w:type="gramEnd"/>
            <w:r w:rsidR="00E85C5B" w:rsidRPr="00E85C5B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proofErr w:type="gramStart"/>
            <w:r w:rsidR="00E85C5B" w:rsidRPr="00E85C5B">
              <w:rPr>
                <w:rFonts w:eastAsia="Calibri"/>
                <w:b w:val="0"/>
                <w:sz w:val="26"/>
                <w:szCs w:val="26"/>
              </w:rPr>
              <w:t>Главная</w:t>
            </w:r>
            <w:r w:rsidR="00E85C5B" w:rsidRPr="00E85C5B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Pr="00E85C5B">
              <w:rPr>
                <w:rFonts w:eastAsia="Calibri"/>
                <w:b w:val="0"/>
                <w:sz w:val="26"/>
                <w:szCs w:val="26"/>
              </w:rPr>
              <w:t xml:space="preserve">/ </w:t>
            </w:r>
            <w:r w:rsidR="00E85C5B" w:rsidRPr="00E85C5B">
              <w:rPr>
                <w:rFonts w:eastAsia="Calibri"/>
                <w:b w:val="0"/>
                <w:sz w:val="26"/>
                <w:szCs w:val="26"/>
              </w:rPr>
              <w:t>Нормативно-правовые акты администрации / НПА</w:t>
            </w:r>
            <w:r w:rsidR="00E85C5B" w:rsidRPr="00E85C5B">
              <w:rPr>
                <w:rFonts w:eastAsia="Calibri"/>
                <w:b w:val="0"/>
                <w:sz w:val="26"/>
                <w:szCs w:val="26"/>
              </w:rPr>
              <w:t xml:space="preserve"> 2019 год</w:t>
            </w:r>
            <w:r w:rsidRPr="00E85C5B">
              <w:rPr>
                <w:rFonts w:eastAsia="Calibri"/>
                <w:b w:val="0"/>
                <w:sz w:val="26"/>
                <w:szCs w:val="26"/>
              </w:rPr>
              <w:t xml:space="preserve"> / </w:t>
            </w:r>
            <w:r w:rsidR="00E85C5B">
              <w:rPr>
                <w:rFonts w:eastAsia="Calibri"/>
                <w:b w:val="0"/>
                <w:sz w:val="26"/>
                <w:szCs w:val="26"/>
              </w:rPr>
              <w:t xml:space="preserve">2-я страница </w:t>
            </w:r>
            <w:r w:rsidR="00E85C5B" w:rsidRPr="00E85C5B">
              <w:rPr>
                <w:b w:val="0"/>
                <w:bCs w:val="0"/>
                <w:sz w:val="26"/>
                <w:szCs w:val="26"/>
              </w:rPr>
              <w:t xml:space="preserve">Решение от 19.12.2019 г. № 447 </w:t>
            </w:r>
            <w:r w:rsidR="00E85C5B">
              <w:rPr>
                <w:b w:val="0"/>
                <w:bCs w:val="0"/>
                <w:sz w:val="26"/>
                <w:szCs w:val="26"/>
              </w:rPr>
              <w:t>«</w:t>
            </w:r>
            <w:r w:rsidR="00E85C5B" w:rsidRPr="00E85C5B">
              <w:rPr>
                <w:b w:val="0"/>
                <w:bCs w:val="0"/>
                <w:sz w:val="26"/>
                <w:szCs w:val="26"/>
              </w:rPr>
              <w:t>Об утверждении внесения изменений в Схему территориального планирования Михайловского муниципального района Приморского края</w:t>
            </w:r>
            <w:r w:rsidR="00E85C5B">
              <w:rPr>
                <w:b w:val="0"/>
                <w:bCs w:val="0"/>
                <w:sz w:val="26"/>
                <w:szCs w:val="26"/>
              </w:rPr>
              <w:t>»</w:t>
            </w:r>
            <w:r w:rsidRPr="00E85C5B">
              <w:rPr>
                <w:rFonts w:eastAsia="Calibri"/>
                <w:b w:val="0"/>
                <w:sz w:val="26"/>
                <w:szCs w:val="26"/>
              </w:rPr>
              <w:t>)</w:t>
            </w:r>
            <w:proofErr w:type="gramEnd"/>
          </w:p>
          <w:p w:rsidR="000A1349" w:rsidRPr="000A1349" w:rsidRDefault="002F1E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Проверить установленные действующим законодательством Российской Федерации для выявленных ЗОУИТ ограничения по использованию земельного участка в контексте предполагаемых целей использования.</w:t>
            </w:r>
          </w:p>
          <w:p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земельных участках общего пользования и территориях общего пользования, красных линиях;</w:t>
            </w:r>
          </w:p>
          <w:p w:rsidR="000A1349" w:rsidRPr="00330526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пункту 11 статьи 1 Градостроительного кодекса Российской Федерации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</w:t>
            </w:r>
          </w:p>
          <w:p w:rsidR="00B21945" w:rsidRPr="00330526" w:rsidRDefault="00D07847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графической части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СРЗУ на КПТ,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условных обозначениях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осуществлять приведение сведений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красных линиях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рекомендуется в случае их установления утвержденными 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документам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территориального планирования, сведениям региональной информационной системы обеспечения градостроительной деятельности Приморского края.</w:t>
            </w:r>
          </w:p>
          <w:p w:rsidR="00D07847" w:rsidRPr="00330526" w:rsidRDefault="00D07847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Определить сведения о наличии установленных красных линий возможно в том числе посредством информации, размещенной на портале РИСОГД ПК (https://isogd.primorsky.ru)</w:t>
            </w:r>
          </w:p>
          <w:p w:rsidR="00D07847" w:rsidRPr="00330526" w:rsidRDefault="00D07847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 меню «Слои» раскрыть вкладку «Планировка территории» и подключить слой «Красные линии»</w:t>
            </w:r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местоположении границ земельных участков,</w:t>
            </w:r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      </w:r>
          </w:p>
          <w:p w:rsidR="00FB00BE" w:rsidRPr="005A6924" w:rsidRDefault="000A134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Графическая часть СРЗУ на КПТ должна содержать актуальные на дату </w:t>
            </w: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ее представления в уполномоченный орган сведения о поставленных на государственный кадастровый учет объектах недвижимости (изображения их границ с приведением кадастровых номеров)</w:t>
            </w:r>
          </w:p>
          <w:p w:rsidR="00D23A1F" w:rsidRDefault="00D23A1F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недвижимости. Образование земельных участков не должно приводить к вклиниванию, </w:t>
            </w:r>
            <w:proofErr w:type="spellStart"/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вкрапливанию</w:t>
            </w:r>
            <w:proofErr w:type="spellEnd"/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настоящим Кодексом, другими федеральными законами (пункты 4, 6 статьи 11.9 Земельного кодекса Российской Федерации).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1.9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572060" w:rsidRDefault="00572060" w:rsidP="00572060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57206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Форма СРЗУ на КПТ</w:t>
            </w:r>
          </w:p>
        </w:tc>
      </w:tr>
      <w:tr w:rsidR="004A0F10" w:rsidTr="00D07847">
        <w:tc>
          <w:tcPr>
            <w:tcW w:w="1025" w:type="dxa"/>
          </w:tcPr>
          <w:p w:rsidR="004A0F10" w:rsidRPr="0015091D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F152A9" w:rsidRPr="005A6924" w:rsidRDefault="00C35D88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пунктом 9 статьи 11.10 Земельного кодекса Российской Федерации подготовка схемы расположения земельного участка осуществляется в форме электронного документа.</w:t>
            </w:r>
          </w:p>
          <w:p w:rsidR="00F152A9" w:rsidRPr="005A6924" w:rsidRDefault="00F152A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      </w:r>
          </w:p>
          <w:p w:rsidR="00C35D88" w:rsidRPr="00F10861" w:rsidRDefault="00F152A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носителе.</w:t>
            </w:r>
          </w:p>
        </w:tc>
      </w:tr>
    </w:tbl>
    <w:p w:rsidR="005305B5" w:rsidRPr="00B26FA8" w:rsidRDefault="005305B5">
      <w:pPr>
        <w:rPr>
          <w:sz w:val="28"/>
          <w:szCs w:val="28"/>
        </w:rPr>
      </w:pPr>
    </w:p>
    <w:sectPr w:rsidR="005305B5" w:rsidRPr="00B26FA8" w:rsidSect="00F152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433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252E"/>
    <w:multiLevelType w:val="hybridMultilevel"/>
    <w:tmpl w:val="8D72E974"/>
    <w:lvl w:ilvl="0" w:tplc="DC727E1C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1F9854A0"/>
    <w:multiLevelType w:val="hybridMultilevel"/>
    <w:tmpl w:val="60D677BC"/>
    <w:lvl w:ilvl="0" w:tplc="DAC6839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8A17C0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2A6"/>
    <w:multiLevelType w:val="hybridMultilevel"/>
    <w:tmpl w:val="F72E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A3F00"/>
    <w:multiLevelType w:val="hybridMultilevel"/>
    <w:tmpl w:val="F5265A3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EE1A5B"/>
    <w:multiLevelType w:val="hybridMultilevel"/>
    <w:tmpl w:val="92787F6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4C51C0"/>
    <w:multiLevelType w:val="hybridMultilevel"/>
    <w:tmpl w:val="94EEF700"/>
    <w:lvl w:ilvl="0" w:tplc="90DCB1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8740A"/>
    <w:multiLevelType w:val="hybridMultilevel"/>
    <w:tmpl w:val="D7E897BE"/>
    <w:lvl w:ilvl="0" w:tplc="041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>
    <w:nsid w:val="669D605B"/>
    <w:multiLevelType w:val="hybridMultilevel"/>
    <w:tmpl w:val="F710E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D78F2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E0F5C"/>
    <w:multiLevelType w:val="hybridMultilevel"/>
    <w:tmpl w:val="CF6E4C28"/>
    <w:lvl w:ilvl="0" w:tplc="1FB4B6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7004B"/>
    <w:multiLevelType w:val="hybridMultilevel"/>
    <w:tmpl w:val="F5265A3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A34667B"/>
    <w:multiLevelType w:val="hybridMultilevel"/>
    <w:tmpl w:val="D7C0931E"/>
    <w:lvl w:ilvl="0" w:tplc="35C2B4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C23DD"/>
    <w:multiLevelType w:val="hybridMultilevel"/>
    <w:tmpl w:val="189E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14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69"/>
    <w:rsid w:val="00054825"/>
    <w:rsid w:val="000A1349"/>
    <w:rsid w:val="001171E2"/>
    <w:rsid w:val="00131DE2"/>
    <w:rsid w:val="00141018"/>
    <w:rsid w:val="001A201A"/>
    <w:rsid w:val="001B5476"/>
    <w:rsid w:val="001D35DB"/>
    <w:rsid w:val="00260957"/>
    <w:rsid w:val="002F1E6E"/>
    <w:rsid w:val="002F7F3E"/>
    <w:rsid w:val="00330526"/>
    <w:rsid w:val="003A4FF1"/>
    <w:rsid w:val="00430EB7"/>
    <w:rsid w:val="0048168C"/>
    <w:rsid w:val="004A0F10"/>
    <w:rsid w:val="004C2379"/>
    <w:rsid w:val="004F5280"/>
    <w:rsid w:val="0052086E"/>
    <w:rsid w:val="005305B5"/>
    <w:rsid w:val="005326EA"/>
    <w:rsid w:val="00572060"/>
    <w:rsid w:val="005832E9"/>
    <w:rsid w:val="005A6924"/>
    <w:rsid w:val="005F1191"/>
    <w:rsid w:val="00616080"/>
    <w:rsid w:val="006609A3"/>
    <w:rsid w:val="0066238B"/>
    <w:rsid w:val="00685741"/>
    <w:rsid w:val="007A33DD"/>
    <w:rsid w:val="007D6509"/>
    <w:rsid w:val="0087794B"/>
    <w:rsid w:val="008A2E5E"/>
    <w:rsid w:val="008C3E7A"/>
    <w:rsid w:val="00943AB4"/>
    <w:rsid w:val="00993989"/>
    <w:rsid w:val="009A0A79"/>
    <w:rsid w:val="009B79BA"/>
    <w:rsid w:val="009D605E"/>
    <w:rsid w:val="00AB2E90"/>
    <w:rsid w:val="00B129C2"/>
    <w:rsid w:val="00B21945"/>
    <w:rsid w:val="00B26FA8"/>
    <w:rsid w:val="00B27A06"/>
    <w:rsid w:val="00B951F2"/>
    <w:rsid w:val="00C35D88"/>
    <w:rsid w:val="00C865D2"/>
    <w:rsid w:val="00D07847"/>
    <w:rsid w:val="00D17769"/>
    <w:rsid w:val="00D22CE7"/>
    <w:rsid w:val="00D23A1F"/>
    <w:rsid w:val="00D72766"/>
    <w:rsid w:val="00D80E04"/>
    <w:rsid w:val="00DA56A4"/>
    <w:rsid w:val="00DA7692"/>
    <w:rsid w:val="00E06DF4"/>
    <w:rsid w:val="00E50ED8"/>
    <w:rsid w:val="00E85C5B"/>
    <w:rsid w:val="00F152A9"/>
    <w:rsid w:val="00F81211"/>
    <w:rsid w:val="00F83F0E"/>
    <w:rsid w:val="00F96D4D"/>
    <w:rsid w:val="00F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85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F0E"/>
    <w:pPr>
      <w:ind w:left="720"/>
      <w:contextualSpacing/>
    </w:pPr>
  </w:style>
  <w:style w:type="paragraph" w:styleId="a5">
    <w:name w:val="Balloon Text"/>
    <w:basedOn w:val="a"/>
    <w:link w:val="a6"/>
    <w:rsid w:val="008A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2E5E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rsid w:val="00B951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C5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85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F0E"/>
    <w:pPr>
      <w:ind w:left="720"/>
      <w:contextualSpacing/>
    </w:pPr>
  </w:style>
  <w:style w:type="paragraph" w:styleId="a5">
    <w:name w:val="Balloon Text"/>
    <w:basedOn w:val="a"/>
    <w:link w:val="a6"/>
    <w:rsid w:val="008A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2E5E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rsid w:val="00B951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C5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gd.primorsk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ikhpri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ikhpri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khpri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Олеговна Синицкая</dc:creator>
  <cp:lastModifiedBy>UGD_Balabadko</cp:lastModifiedBy>
  <cp:revision>4</cp:revision>
  <cp:lastPrinted>2021-09-02T05:52:00Z</cp:lastPrinted>
  <dcterms:created xsi:type="dcterms:W3CDTF">2021-12-28T03:00:00Z</dcterms:created>
  <dcterms:modified xsi:type="dcterms:W3CDTF">2021-12-30T01:04:00Z</dcterms:modified>
</cp:coreProperties>
</file>